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BC" w:rsidRDefault="00107CBC">
      <w:pPr>
        <w:autoSpaceDE w:val="0"/>
        <w:autoSpaceDN w:val="0"/>
        <w:adjustRightInd w:val="0"/>
        <w:jc w:val="both"/>
        <w:rPr>
          <w:szCs w:val="20"/>
          <w:lang w:val="en-US"/>
        </w:rPr>
      </w:pPr>
    </w:p>
    <w:p w:rsidR="00107CBC" w:rsidRDefault="00E470D7">
      <w:pPr>
        <w:pStyle w:val="Textoindependiente3"/>
        <w:ind w:right="72"/>
        <w:rPr>
          <w:szCs w:val="20"/>
        </w:rPr>
      </w:pPr>
      <w:r>
        <w:rPr>
          <w:b/>
          <w:bCs/>
        </w:rPr>
        <w:t>Ejercicio</w:t>
      </w:r>
      <w:r w:rsidR="00336F2C">
        <w:rPr>
          <w:b/>
          <w:bCs/>
        </w:rPr>
        <w:t xml:space="preserve"> de muestas apareadas</w:t>
      </w:r>
      <w:r w:rsidR="0086199B">
        <w:rPr>
          <w:b/>
          <w:bCs/>
        </w:rPr>
        <w:t xml:space="preserve"> </w:t>
      </w:r>
      <w:r w:rsidR="0086199B" w:rsidRPr="0086199B">
        <w:rPr>
          <w:bCs/>
        </w:rPr>
        <w:t>(para clase teórica del 31/05/2013)</w:t>
      </w:r>
      <w:r w:rsidR="00336F2C">
        <w:rPr>
          <w:bCs/>
        </w:rPr>
        <w:t>:</w:t>
      </w:r>
      <w:r>
        <w:t xml:space="preserve"> Se consideran dos fórmulas químicas A y B para un nuevo producto que se utilizará para teñir telas. La empresa productora está interesada en telas especialmente resistentes a perder color tras la exposición al sol. Diez piezas de diferentes tejidos se cortan en dos mitades y a cada una se le aplica uno de los dos tintes. Los 20 trozos de tela se exponen al sol durante un periodo de tiempo, al cabo del cual se mide la intensidad del color, obteniéndose: </w:t>
      </w:r>
    </w:p>
    <w:p w:rsidR="00107CBC" w:rsidRDefault="00E470D7">
      <w:pPr>
        <w:ind w:right="72"/>
        <w:jc w:val="center"/>
        <w:rPr>
          <w:szCs w:val="20"/>
        </w:rPr>
      </w:pPr>
      <w:r>
        <w:rPr>
          <w:szCs w:val="22"/>
        </w:rPr>
        <w:t xml:space="preserve">  Telas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5580"/>
      </w:tblGrid>
      <w:tr w:rsidR="00107CBC">
        <w:trPr>
          <w:jc w:val="center"/>
        </w:trPr>
        <w:tc>
          <w:tcPr>
            <w:tcW w:w="1150" w:type="dxa"/>
          </w:tcPr>
          <w:p w:rsidR="00107CBC" w:rsidRDefault="00E470D7">
            <w:pPr>
              <w:ind w:right="72"/>
              <w:jc w:val="both"/>
              <w:rPr>
                <w:szCs w:val="20"/>
              </w:rPr>
            </w:pPr>
            <w:r>
              <w:rPr>
                <w:szCs w:val="22"/>
              </w:rPr>
              <w:t xml:space="preserve">Fórmulas </w:t>
            </w:r>
          </w:p>
        </w:tc>
        <w:tc>
          <w:tcPr>
            <w:tcW w:w="5580" w:type="dxa"/>
          </w:tcPr>
          <w:p w:rsidR="00107CBC" w:rsidRDefault="00E470D7">
            <w:pPr>
              <w:ind w:right="72"/>
              <w:jc w:val="both"/>
              <w:rPr>
                <w:szCs w:val="20"/>
              </w:rPr>
            </w:pPr>
            <w:r>
              <w:rPr>
                <w:szCs w:val="22"/>
              </w:rPr>
              <w:t>1         2        3      4       5       6       7      8       9      10</w:t>
            </w:r>
          </w:p>
        </w:tc>
      </w:tr>
      <w:tr w:rsidR="00107CBC">
        <w:trPr>
          <w:jc w:val="center"/>
        </w:trPr>
        <w:tc>
          <w:tcPr>
            <w:tcW w:w="1150" w:type="dxa"/>
          </w:tcPr>
          <w:p w:rsidR="00107CBC" w:rsidRDefault="00E470D7">
            <w:pPr>
              <w:ind w:right="72"/>
              <w:jc w:val="both"/>
              <w:rPr>
                <w:szCs w:val="20"/>
              </w:rPr>
            </w:pPr>
            <w:r>
              <w:rPr>
                <w:szCs w:val="22"/>
              </w:rPr>
              <w:t xml:space="preserve">A </w:t>
            </w:r>
          </w:p>
        </w:tc>
        <w:tc>
          <w:tcPr>
            <w:tcW w:w="5580" w:type="dxa"/>
          </w:tcPr>
          <w:p w:rsidR="00107CBC" w:rsidRDefault="00E470D7">
            <w:pPr>
              <w:ind w:right="72"/>
              <w:jc w:val="both"/>
              <w:rPr>
                <w:szCs w:val="20"/>
              </w:rPr>
            </w:pPr>
            <w:r>
              <w:rPr>
                <w:szCs w:val="22"/>
              </w:rPr>
              <w:t>7.2    4.3    5.8    6.5    4.9    6.8    6.3    7.0    6.5    6.2</w:t>
            </w:r>
          </w:p>
        </w:tc>
      </w:tr>
      <w:tr w:rsidR="00107CBC">
        <w:trPr>
          <w:jc w:val="center"/>
        </w:trPr>
        <w:tc>
          <w:tcPr>
            <w:tcW w:w="1150" w:type="dxa"/>
          </w:tcPr>
          <w:p w:rsidR="00107CBC" w:rsidRDefault="00E470D7">
            <w:pPr>
              <w:ind w:right="72"/>
              <w:jc w:val="both"/>
              <w:rPr>
                <w:szCs w:val="20"/>
              </w:rPr>
            </w:pPr>
            <w:r>
              <w:rPr>
                <w:szCs w:val="22"/>
              </w:rPr>
              <w:t xml:space="preserve">B </w:t>
            </w:r>
          </w:p>
        </w:tc>
        <w:tc>
          <w:tcPr>
            <w:tcW w:w="5580" w:type="dxa"/>
          </w:tcPr>
          <w:p w:rsidR="00107CBC" w:rsidRDefault="00E470D7">
            <w:pPr>
              <w:ind w:right="72"/>
              <w:jc w:val="both"/>
              <w:rPr>
                <w:szCs w:val="20"/>
              </w:rPr>
            </w:pPr>
            <w:r>
              <w:rPr>
                <w:szCs w:val="22"/>
              </w:rPr>
              <w:t>5.1    4.1    5.5    4.1    5.0    5.1    5.3    7.3    4.8    5.8</w:t>
            </w:r>
          </w:p>
        </w:tc>
      </w:tr>
    </w:tbl>
    <w:p w:rsidR="00107CBC" w:rsidRDefault="00E470D7">
      <w:pPr>
        <w:ind w:right="72"/>
        <w:jc w:val="center"/>
        <w:rPr>
          <w:i/>
          <w:iCs/>
          <w:szCs w:val="22"/>
        </w:rPr>
      </w:pPr>
      <w:r>
        <w:rPr>
          <w:i/>
          <w:iCs/>
          <w:szCs w:val="22"/>
        </w:rPr>
        <w:t>(bajos resultados indican menos intensidad, es decir, mayor pérdida de color)</w:t>
      </w:r>
    </w:p>
    <w:p w:rsidR="00107CBC" w:rsidRDefault="00107CBC">
      <w:pPr>
        <w:ind w:right="72"/>
        <w:jc w:val="center"/>
        <w:rPr>
          <w:i/>
          <w:iCs/>
          <w:szCs w:val="20"/>
        </w:rPr>
      </w:pPr>
    </w:p>
    <w:p w:rsidR="00107CBC" w:rsidRDefault="00D23E90">
      <w:pPr>
        <w:ind w:right="72"/>
        <w:jc w:val="both"/>
        <w:rPr>
          <w:szCs w:val="22"/>
        </w:rPr>
      </w:pPr>
      <w:r>
        <w:rPr>
          <w:szCs w:val="22"/>
        </w:rPr>
        <w:t>Se</w:t>
      </w:r>
      <w:r w:rsidR="00E470D7">
        <w:rPr>
          <w:szCs w:val="22"/>
        </w:rPr>
        <w:t xml:space="preserve"> supone que la diferencia entre la intensidad de color  con la formula A y la intensidad de color con la formula B sigue una distribución N(μ</w:t>
      </w:r>
      <w:r w:rsidR="00E470D7">
        <w:rPr>
          <w:szCs w:val="22"/>
          <w:vertAlign w:val="subscript"/>
        </w:rPr>
        <w:t xml:space="preserve">A </w:t>
      </w:r>
      <w:r w:rsidR="00E470D7">
        <w:rPr>
          <w:szCs w:val="22"/>
        </w:rPr>
        <w:t>- μ</w:t>
      </w:r>
      <w:r w:rsidR="00E470D7">
        <w:rPr>
          <w:szCs w:val="22"/>
          <w:vertAlign w:val="subscript"/>
        </w:rPr>
        <w:t xml:space="preserve">B </w:t>
      </w:r>
      <w:r w:rsidR="00E470D7">
        <w:rPr>
          <w:szCs w:val="22"/>
        </w:rPr>
        <w:t>, σ</w:t>
      </w:r>
      <w:r w:rsidR="00E470D7">
        <w:rPr>
          <w:szCs w:val="22"/>
          <w:vertAlign w:val="superscript"/>
        </w:rPr>
        <w:t>2</w:t>
      </w:r>
      <w:r w:rsidR="00E470D7">
        <w:rPr>
          <w:szCs w:val="22"/>
        </w:rPr>
        <w:t>).  Se desea saber si existen diferencias entre las medias de ambas formulas.</w:t>
      </w:r>
    </w:p>
    <w:p w:rsidR="00107CBC" w:rsidRDefault="00107CBC">
      <w:pPr>
        <w:ind w:right="72"/>
        <w:jc w:val="both"/>
        <w:rPr>
          <w:szCs w:val="22"/>
        </w:rPr>
      </w:pPr>
    </w:p>
    <w:p w:rsidR="00107CBC" w:rsidRDefault="00E470D7">
      <w:pPr>
        <w:numPr>
          <w:ilvl w:val="0"/>
          <w:numId w:val="24"/>
        </w:numPr>
        <w:tabs>
          <w:tab w:val="clear" w:pos="720"/>
          <w:tab w:val="num" w:pos="0"/>
        </w:tabs>
        <w:ind w:left="360" w:right="72"/>
        <w:jc w:val="both"/>
        <w:rPr>
          <w:szCs w:val="20"/>
        </w:rPr>
      </w:pPr>
      <w:r>
        <w:rPr>
          <w:szCs w:val="22"/>
        </w:rPr>
        <w:t>Plantee las hipótesis correspondientes y proponga un test de nivel 0.05 para las hipótesis planteadas.</w:t>
      </w:r>
    </w:p>
    <w:p w:rsidR="00107CBC" w:rsidRDefault="00E470D7">
      <w:pPr>
        <w:numPr>
          <w:ilvl w:val="0"/>
          <w:numId w:val="24"/>
        </w:numPr>
        <w:tabs>
          <w:tab w:val="clear" w:pos="720"/>
          <w:tab w:val="num" w:pos="0"/>
        </w:tabs>
        <w:ind w:left="360" w:right="72"/>
        <w:jc w:val="both"/>
        <w:rPr>
          <w:szCs w:val="20"/>
        </w:rPr>
      </w:pPr>
      <w:r>
        <w:rPr>
          <w:szCs w:val="22"/>
        </w:rPr>
        <w:t>Construir un intervalo de confianza de nivel 0.95 para la diferencia de intensidad media entre las formulas. ¿Tiene razones la empresa productora para sospechar que la formula B es  mejor que la formula A?</w:t>
      </w:r>
    </w:p>
    <w:p w:rsidR="00107CBC" w:rsidRDefault="00E470D7">
      <w:pPr>
        <w:numPr>
          <w:ilvl w:val="0"/>
          <w:numId w:val="24"/>
        </w:numPr>
        <w:tabs>
          <w:tab w:val="clear" w:pos="720"/>
          <w:tab w:val="num" w:pos="0"/>
        </w:tabs>
        <w:ind w:left="360" w:right="72"/>
        <w:jc w:val="both"/>
        <w:rPr>
          <w:szCs w:val="20"/>
        </w:rPr>
      </w:pPr>
      <w:r>
        <w:rPr>
          <w:szCs w:val="22"/>
        </w:rPr>
        <w:t xml:space="preserve">Suponiendo </w:t>
      </w:r>
      <w:r w:rsidR="00D23E90">
        <w:rPr>
          <w:szCs w:val="22"/>
        </w:rPr>
        <w:t xml:space="preserve">que </w:t>
      </w:r>
      <w:r>
        <w:rPr>
          <w:szCs w:val="22"/>
        </w:rPr>
        <w:t>la varianza poblacional</w:t>
      </w:r>
      <w:r w:rsidR="00D23E90">
        <w:rPr>
          <w:szCs w:val="22"/>
        </w:rPr>
        <w:t xml:space="preserve"> es</w:t>
      </w:r>
      <w:r>
        <w:rPr>
          <w:szCs w:val="22"/>
        </w:rPr>
        <w:t xml:space="preserve"> σ</w:t>
      </w:r>
      <w:r>
        <w:rPr>
          <w:szCs w:val="22"/>
          <w:vertAlign w:val="superscript"/>
        </w:rPr>
        <w:t xml:space="preserve">2 </w:t>
      </w:r>
      <w:r>
        <w:rPr>
          <w:szCs w:val="22"/>
        </w:rPr>
        <w:t xml:space="preserve">= 1 , calcular la probabilidad de cometer error de tipo II cuando la diferencia de intensidad es de 0.97. </w:t>
      </w:r>
    </w:p>
    <w:p w:rsidR="00107CBC" w:rsidRDefault="00107CBC">
      <w:pPr>
        <w:ind w:right="72"/>
        <w:jc w:val="both"/>
        <w:rPr>
          <w:szCs w:val="22"/>
        </w:rPr>
      </w:pPr>
    </w:p>
    <w:tbl>
      <w:tblPr>
        <w:tblpPr w:leftFromText="141" w:rightFromText="141" w:vertAnchor="text" w:horzAnchor="margin" w:tblpXSpec="center" w:tblpY="-32"/>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30"/>
        <w:gridCol w:w="1230"/>
        <w:gridCol w:w="1230"/>
        <w:gridCol w:w="1230"/>
        <w:gridCol w:w="1230"/>
        <w:gridCol w:w="1230"/>
      </w:tblGrid>
      <w:tr w:rsidR="00107CBC">
        <w:trPr>
          <w:trHeight w:val="346"/>
        </w:trPr>
        <w:tc>
          <w:tcPr>
            <w:tcW w:w="1230" w:type="dxa"/>
            <w:vAlign w:val="center"/>
          </w:tcPr>
          <w:p w:rsidR="00107CBC" w:rsidRDefault="00E470D7">
            <w:pPr>
              <w:ind w:right="72"/>
              <w:jc w:val="center"/>
              <w:rPr>
                <w:szCs w:val="20"/>
              </w:rPr>
            </w:pPr>
            <w:r w:rsidRPr="00107CBC">
              <w:rPr>
                <w:position w:val="-10"/>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pt" o:ole="">
                  <v:imagedata r:id="rId7" o:title=""/>
                </v:shape>
                <o:OLEObject Type="Embed" ProgID="Equation.3" ShapeID="_x0000_i1025" DrawAspect="Content" ObjectID="_1431160033" r:id="rId8"/>
              </w:object>
            </w:r>
          </w:p>
        </w:tc>
        <w:tc>
          <w:tcPr>
            <w:tcW w:w="1230" w:type="dxa"/>
            <w:vAlign w:val="center"/>
          </w:tcPr>
          <w:p w:rsidR="00107CBC" w:rsidRDefault="00E470D7">
            <w:pPr>
              <w:ind w:left="653" w:right="72" w:hanging="653"/>
              <w:jc w:val="center"/>
              <w:rPr>
                <w:szCs w:val="20"/>
              </w:rPr>
            </w:pPr>
            <w:r w:rsidRPr="00107CBC">
              <w:rPr>
                <w:position w:val="-10"/>
              </w:rPr>
              <w:object w:dxaOrig="380" w:dyaOrig="360">
                <v:shape id="_x0000_i1026" type="#_x0000_t75" style="width:18.6pt;height:18pt" o:ole="">
                  <v:imagedata r:id="rId9" o:title=""/>
                </v:shape>
                <o:OLEObject Type="Embed" ProgID="Equation.3" ShapeID="_x0000_i1026" DrawAspect="Content" ObjectID="_1431160034" r:id="rId10"/>
              </w:object>
            </w:r>
          </w:p>
        </w:tc>
        <w:tc>
          <w:tcPr>
            <w:tcW w:w="1230" w:type="dxa"/>
            <w:vAlign w:val="center"/>
          </w:tcPr>
          <w:p w:rsidR="00107CBC" w:rsidRDefault="00E470D7">
            <w:pPr>
              <w:ind w:right="72"/>
              <w:jc w:val="center"/>
              <w:rPr>
                <w:szCs w:val="20"/>
              </w:rPr>
            </w:pPr>
            <w:r w:rsidRPr="00107CBC">
              <w:rPr>
                <w:position w:val="-10"/>
              </w:rPr>
              <w:object w:dxaOrig="560" w:dyaOrig="360">
                <v:shape id="_x0000_i1027" type="#_x0000_t75" style="width:27.6pt;height:18pt" o:ole="">
                  <v:imagedata r:id="rId11" o:title=""/>
                </v:shape>
                <o:OLEObject Type="Embed" ProgID="Equation.3" ShapeID="_x0000_i1027" DrawAspect="Content" ObjectID="_1431160035" r:id="rId12"/>
              </w:object>
            </w:r>
          </w:p>
        </w:tc>
        <w:tc>
          <w:tcPr>
            <w:tcW w:w="1230" w:type="dxa"/>
            <w:vAlign w:val="center"/>
          </w:tcPr>
          <w:p w:rsidR="00107CBC" w:rsidRDefault="00E470D7">
            <w:pPr>
              <w:ind w:right="72"/>
              <w:jc w:val="center"/>
              <w:rPr>
                <w:szCs w:val="20"/>
              </w:rPr>
            </w:pPr>
            <w:r>
              <w:rPr>
                <w:lang w:val="es-ES_tradnl"/>
              </w:rPr>
              <w:t>s</w:t>
            </w:r>
            <w:r>
              <w:rPr>
                <w:vertAlign w:val="subscript"/>
                <w:lang w:val="es-ES_tradnl"/>
              </w:rPr>
              <w:t>A</w:t>
            </w:r>
          </w:p>
        </w:tc>
        <w:tc>
          <w:tcPr>
            <w:tcW w:w="1230" w:type="dxa"/>
            <w:vAlign w:val="center"/>
          </w:tcPr>
          <w:p w:rsidR="00107CBC" w:rsidRDefault="00E470D7">
            <w:pPr>
              <w:ind w:right="72"/>
              <w:jc w:val="center"/>
              <w:rPr>
                <w:szCs w:val="20"/>
              </w:rPr>
            </w:pPr>
            <w:r>
              <w:rPr>
                <w:lang w:val="es-ES_tradnl"/>
              </w:rPr>
              <w:t>s</w:t>
            </w:r>
            <w:r>
              <w:rPr>
                <w:vertAlign w:val="subscript"/>
                <w:lang w:val="es-ES_tradnl"/>
              </w:rPr>
              <w:t>B</w:t>
            </w:r>
          </w:p>
        </w:tc>
        <w:tc>
          <w:tcPr>
            <w:tcW w:w="1230" w:type="dxa"/>
            <w:vAlign w:val="center"/>
          </w:tcPr>
          <w:p w:rsidR="00107CBC" w:rsidRDefault="00E470D7">
            <w:pPr>
              <w:ind w:right="72"/>
              <w:jc w:val="center"/>
              <w:rPr>
                <w:szCs w:val="20"/>
                <w:lang w:val="es-ES_tradnl"/>
              </w:rPr>
            </w:pPr>
            <w:r>
              <w:rPr>
                <w:lang w:val="es-ES_tradnl"/>
              </w:rPr>
              <w:t>s</w:t>
            </w:r>
            <w:r>
              <w:rPr>
                <w:vertAlign w:val="subscript"/>
                <w:lang w:val="es-ES_tradnl"/>
              </w:rPr>
              <w:t>A-B</w:t>
            </w:r>
          </w:p>
        </w:tc>
      </w:tr>
      <w:tr w:rsidR="00107CBC">
        <w:trPr>
          <w:trHeight w:val="354"/>
        </w:trPr>
        <w:tc>
          <w:tcPr>
            <w:tcW w:w="1230" w:type="dxa"/>
            <w:vAlign w:val="center"/>
          </w:tcPr>
          <w:p w:rsidR="00107CBC" w:rsidRDefault="00E470D7">
            <w:pPr>
              <w:ind w:right="72"/>
              <w:jc w:val="center"/>
              <w:rPr>
                <w:szCs w:val="20"/>
              </w:rPr>
            </w:pPr>
            <w:r>
              <w:rPr>
                <w:szCs w:val="20"/>
              </w:rPr>
              <w:t>6.15</w:t>
            </w:r>
          </w:p>
        </w:tc>
        <w:tc>
          <w:tcPr>
            <w:tcW w:w="1230" w:type="dxa"/>
            <w:vAlign w:val="center"/>
          </w:tcPr>
          <w:p w:rsidR="00107CBC" w:rsidRDefault="00E470D7">
            <w:pPr>
              <w:ind w:left="653" w:right="72" w:hanging="653"/>
              <w:jc w:val="center"/>
              <w:rPr>
                <w:szCs w:val="20"/>
              </w:rPr>
            </w:pPr>
            <w:r>
              <w:rPr>
                <w:szCs w:val="20"/>
              </w:rPr>
              <w:t>5.21</w:t>
            </w:r>
          </w:p>
        </w:tc>
        <w:tc>
          <w:tcPr>
            <w:tcW w:w="1230" w:type="dxa"/>
            <w:vAlign w:val="center"/>
          </w:tcPr>
          <w:p w:rsidR="00107CBC" w:rsidRDefault="00E470D7">
            <w:pPr>
              <w:ind w:right="72"/>
              <w:jc w:val="center"/>
              <w:rPr>
                <w:szCs w:val="20"/>
              </w:rPr>
            </w:pPr>
            <w:r>
              <w:rPr>
                <w:szCs w:val="20"/>
              </w:rPr>
              <w:t>0.94</w:t>
            </w:r>
          </w:p>
        </w:tc>
        <w:tc>
          <w:tcPr>
            <w:tcW w:w="1230" w:type="dxa"/>
            <w:vAlign w:val="center"/>
          </w:tcPr>
          <w:p w:rsidR="00107CBC" w:rsidRDefault="00E470D7">
            <w:pPr>
              <w:ind w:right="72"/>
              <w:jc w:val="center"/>
              <w:rPr>
                <w:szCs w:val="20"/>
              </w:rPr>
            </w:pPr>
            <w:r>
              <w:rPr>
                <w:szCs w:val="20"/>
              </w:rPr>
              <w:t>0.92</w:t>
            </w:r>
          </w:p>
        </w:tc>
        <w:tc>
          <w:tcPr>
            <w:tcW w:w="1230" w:type="dxa"/>
            <w:vAlign w:val="center"/>
          </w:tcPr>
          <w:p w:rsidR="00107CBC" w:rsidRDefault="00E470D7">
            <w:pPr>
              <w:ind w:right="72"/>
              <w:jc w:val="center"/>
              <w:rPr>
                <w:szCs w:val="20"/>
              </w:rPr>
            </w:pPr>
            <w:r>
              <w:rPr>
                <w:szCs w:val="20"/>
              </w:rPr>
              <w:t>0.91</w:t>
            </w:r>
          </w:p>
        </w:tc>
        <w:tc>
          <w:tcPr>
            <w:tcW w:w="1230" w:type="dxa"/>
            <w:vAlign w:val="center"/>
          </w:tcPr>
          <w:p w:rsidR="00107CBC" w:rsidRDefault="00E470D7">
            <w:pPr>
              <w:ind w:right="72"/>
              <w:jc w:val="center"/>
              <w:rPr>
                <w:szCs w:val="20"/>
              </w:rPr>
            </w:pPr>
            <w:r>
              <w:rPr>
                <w:szCs w:val="20"/>
              </w:rPr>
              <w:t>0.97</w:t>
            </w:r>
          </w:p>
        </w:tc>
      </w:tr>
    </w:tbl>
    <w:p w:rsidR="00107CBC" w:rsidRDefault="00107CBC">
      <w:pPr>
        <w:ind w:right="72"/>
        <w:jc w:val="both"/>
        <w:rPr>
          <w:szCs w:val="22"/>
        </w:rPr>
      </w:pPr>
    </w:p>
    <w:p w:rsidR="00107CBC" w:rsidRDefault="00107CBC">
      <w:pPr>
        <w:ind w:right="72"/>
        <w:jc w:val="both"/>
        <w:rPr>
          <w:szCs w:val="20"/>
        </w:rPr>
      </w:pPr>
    </w:p>
    <w:p w:rsidR="00107CBC" w:rsidRDefault="00107CBC">
      <w:pPr>
        <w:ind w:right="72"/>
        <w:jc w:val="both"/>
        <w:rPr>
          <w:szCs w:val="20"/>
        </w:rPr>
      </w:pPr>
    </w:p>
    <w:p w:rsidR="00E470D7" w:rsidRDefault="00E470D7">
      <w:pPr>
        <w:autoSpaceDE w:val="0"/>
        <w:autoSpaceDN w:val="0"/>
        <w:adjustRightInd w:val="0"/>
        <w:ind w:right="72"/>
        <w:jc w:val="both"/>
        <w:rPr>
          <w:lang w:val="en-US"/>
        </w:rPr>
      </w:pPr>
    </w:p>
    <w:sectPr w:rsidR="00E470D7" w:rsidSect="00107CBC">
      <w:footerReference w:type="even" r:id="rId13"/>
      <w:footerReference w:type="default" r:id="rId14"/>
      <w:pgSz w:w="12240" w:h="15840"/>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E3A" w:rsidRDefault="00187E3A">
      <w:r>
        <w:separator/>
      </w:r>
    </w:p>
  </w:endnote>
  <w:endnote w:type="continuationSeparator" w:id="1">
    <w:p w:rsidR="00187E3A" w:rsidRDefault="00187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CBC" w:rsidRDefault="00846BC7">
    <w:pPr>
      <w:pStyle w:val="Piedepgina"/>
      <w:framePr w:wrap="around" w:vAnchor="text" w:hAnchor="margin" w:xAlign="right" w:y="1"/>
      <w:rPr>
        <w:rStyle w:val="Nmerodepgina"/>
      </w:rPr>
    </w:pPr>
    <w:r>
      <w:rPr>
        <w:rStyle w:val="Nmerodepgina"/>
      </w:rPr>
      <w:fldChar w:fldCharType="begin"/>
    </w:r>
    <w:r w:rsidR="00E470D7">
      <w:rPr>
        <w:rStyle w:val="Nmerodepgina"/>
      </w:rPr>
      <w:instrText xml:space="preserve">PAGE  </w:instrText>
    </w:r>
    <w:r>
      <w:rPr>
        <w:rStyle w:val="Nmerodepgina"/>
      </w:rPr>
      <w:fldChar w:fldCharType="end"/>
    </w:r>
  </w:p>
  <w:p w:rsidR="00107CBC" w:rsidRDefault="00107CB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CBC" w:rsidRDefault="00846BC7">
    <w:pPr>
      <w:pStyle w:val="Piedepgina"/>
      <w:framePr w:wrap="around" w:vAnchor="text" w:hAnchor="margin" w:xAlign="right" w:y="1"/>
      <w:rPr>
        <w:rStyle w:val="Nmerodepgina"/>
      </w:rPr>
    </w:pPr>
    <w:r>
      <w:rPr>
        <w:rStyle w:val="Nmerodepgina"/>
      </w:rPr>
      <w:fldChar w:fldCharType="begin"/>
    </w:r>
    <w:r w:rsidR="00E470D7">
      <w:rPr>
        <w:rStyle w:val="Nmerodepgina"/>
      </w:rPr>
      <w:instrText xml:space="preserve">PAGE  </w:instrText>
    </w:r>
    <w:r>
      <w:rPr>
        <w:rStyle w:val="Nmerodepgina"/>
      </w:rPr>
      <w:fldChar w:fldCharType="separate"/>
    </w:r>
    <w:r w:rsidR="00336F2C">
      <w:rPr>
        <w:rStyle w:val="Nmerodepgina"/>
        <w:noProof/>
      </w:rPr>
      <w:t>1</w:t>
    </w:r>
    <w:r>
      <w:rPr>
        <w:rStyle w:val="Nmerodepgina"/>
      </w:rPr>
      <w:fldChar w:fldCharType="end"/>
    </w:r>
  </w:p>
  <w:p w:rsidR="00107CBC" w:rsidRDefault="00107CB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E3A" w:rsidRDefault="00187E3A">
      <w:r>
        <w:separator/>
      </w:r>
    </w:p>
  </w:footnote>
  <w:footnote w:type="continuationSeparator" w:id="1">
    <w:p w:rsidR="00187E3A" w:rsidRDefault="00187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730F"/>
    <w:multiLevelType w:val="multilevel"/>
    <w:tmpl w:val="F5EC1A72"/>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1563AE7"/>
    <w:multiLevelType w:val="hybridMultilevel"/>
    <w:tmpl w:val="EEBC57F8"/>
    <w:lvl w:ilvl="0" w:tplc="1F5C7A1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171E3C"/>
    <w:multiLevelType w:val="hybridMultilevel"/>
    <w:tmpl w:val="2F92731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345403"/>
    <w:multiLevelType w:val="hybridMultilevel"/>
    <w:tmpl w:val="6E1CC9B4"/>
    <w:lvl w:ilvl="0" w:tplc="AE9631FE">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DD653E4"/>
    <w:multiLevelType w:val="hybridMultilevel"/>
    <w:tmpl w:val="174E891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27F10D9E"/>
    <w:multiLevelType w:val="multilevel"/>
    <w:tmpl w:val="0CE60FF8"/>
    <w:lvl w:ilvl="0">
      <w:start w:val="2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ADF791D"/>
    <w:multiLevelType w:val="hybridMultilevel"/>
    <w:tmpl w:val="5394AFC6"/>
    <w:lvl w:ilvl="0" w:tplc="AC305828">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F9A5A5F"/>
    <w:multiLevelType w:val="hybridMultilevel"/>
    <w:tmpl w:val="8CD2ED4E"/>
    <w:lvl w:ilvl="0" w:tplc="AE9631FE">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0F431D4"/>
    <w:multiLevelType w:val="hybridMultilevel"/>
    <w:tmpl w:val="9190B9B2"/>
    <w:lvl w:ilvl="0" w:tplc="69DA4670">
      <w:start w:val="1"/>
      <w:numFmt w:val="lowerLetter"/>
      <w:lvlText w:val="%1)"/>
      <w:lvlJc w:val="left"/>
      <w:pPr>
        <w:tabs>
          <w:tab w:val="num" w:pos="420"/>
        </w:tabs>
        <w:ind w:left="420" w:hanging="360"/>
      </w:pPr>
      <w:rPr>
        <w:rFonts w:ascii="Times New Roman" w:hAnsi="Times New Roman" w:hint="default"/>
        <w:sz w:val="24"/>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9">
    <w:nsid w:val="31BC33A1"/>
    <w:multiLevelType w:val="hybridMultilevel"/>
    <w:tmpl w:val="75F835BC"/>
    <w:lvl w:ilvl="0" w:tplc="2A88F35A">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1EA1BB0"/>
    <w:multiLevelType w:val="hybridMultilevel"/>
    <w:tmpl w:val="BB82DBC8"/>
    <w:lvl w:ilvl="0" w:tplc="AE9631FE">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5F3389F"/>
    <w:multiLevelType w:val="singleLevel"/>
    <w:tmpl w:val="B7304580"/>
    <w:lvl w:ilvl="0">
      <w:start w:val="1"/>
      <w:numFmt w:val="lowerLetter"/>
      <w:lvlText w:val="%1)"/>
      <w:lvlJc w:val="left"/>
      <w:pPr>
        <w:tabs>
          <w:tab w:val="num" w:pos="705"/>
        </w:tabs>
        <w:ind w:left="705" w:hanging="705"/>
      </w:pPr>
      <w:rPr>
        <w:rFonts w:hint="default"/>
      </w:rPr>
    </w:lvl>
  </w:abstractNum>
  <w:abstractNum w:abstractNumId="12">
    <w:nsid w:val="4A8B73E9"/>
    <w:multiLevelType w:val="hybridMultilevel"/>
    <w:tmpl w:val="F76A537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BDB5A2C"/>
    <w:multiLevelType w:val="hybridMultilevel"/>
    <w:tmpl w:val="146E3F02"/>
    <w:lvl w:ilvl="0" w:tplc="AE9631FE">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2D3DA5"/>
    <w:multiLevelType w:val="hybridMultilevel"/>
    <w:tmpl w:val="546AE95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592951E3"/>
    <w:multiLevelType w:val="hybridMultilevel"/>
    <w:tmpl w:val="694269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22D31C3"/>
    <w:multiLevelType w:val="hybridMultilevel"/>
    <w:tmpl w:val="6428E4A2"/>
    <w:lvl w:ilvl="0" w:tplc="AE9631FE">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7951DCE"/>
    <w:multiLevelType w:val="hybridMultilevel"/>
    <w:tmpl w:val="79AE6B56"/>
    <w:lvl w:ilvl="0" w:tplc="609CC266">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8">
    <w:nsid w:val="6A2A29D5"/>
    <w:multiLevelType w:val="singleLevel"/>
    <w:tmpl w:val="B7304580"/>
    <w:lvl w:ilvl="0">
      <w:start w:val="1"/>
      <w:numFmt w:val="lowerLetter"/>
      <w:lvlText w:val="%1)"/>
      <w:lvlJc w:val="left"/>
      <w:pPr>
        <w:tabs>
          <w:tab w:val="num" w:pos="705"/>
        </w:tabs>
        <w:ind w:left="705" w:hanging="705"/>
      </w:pPr>
      <w:rPr>
        <w:rFonts w:hint="default"/>
      </w:rPr>
    </w:lvl>
  </w:abstractNum>
  <w:abstractNum w:abstractNumId="19">
    <w:nsid w:val="6B7F31BB"/>
    <w:multiLevelType w:val="singleLevel"/>
    <w:tmpl w:val="0C0A0017"/>
    <w:lvl w:ilvl="0">
      <w:start w:val="1"/>
      <w:numFmt w:val="lowerLetter"/>
      <w:lvlText w:val="%1)"/>
      <w:lvlJc w:val="left"/>
      <w:pPr>
        <w:tabs>
          <w:tab w:val="num" w:pos="360"/>
        </w:tabs>
        <w:ind w:left="360" w:hanging="360"/>
      </w:pPr>
    </w:lvl>
  </w:abstractNum>
  <w:abstractNum w:abstractNumId="20">
    <w:nsid w:val="75F05493"/>
    <w:multiLevelType w:val="hybridMultilevel"/>
    <w:tmpl w:val="D800169E"/>
    <w:lvl w:ilvl="0" w:tplc="1F5C7A1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8883AF3"/>
    <w:multiLevelType w:val="hybridMultilevel"/>
    <w:tmpl w:val="9CE80A2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D5C0508"/>
    <w:multiLevelType w:val="hybridMultilevel"/>
    <w:tmpl w:val="49F226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E6824ED"/>
    <w:multiLevelType w:val="hybridMultilevel"/>
    <w:tmpl w:val="95B0F49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8"/>
  </w:num>
  <w:num w:numId="4">
    <w:abstractNumId w:val="9"/>
  </w:num>
  <w:num w:numId="5">
    <w:abstractNumId w:val="18"/>
  </w:num>
  <w:num w:numId="6">
    <w:abstractNumId w:val="21"/>
  </w:num>
  <w:num w:numId="7">
    <w:abstractNumId w:val="11"/>
  </w:num>
  <w:num w:numId="8">
    <w:abstractNumId w:val="14"/>
  </w:num>
  <w:num w:numId="9">
    <w:abstractNumId w:val="19"/>
  </w:num>
  <w:num w:numId="10">
    <w:abstractNumId w:val="4"/>
  </w:num>
  <w:num w:numId="11">
    <w:abstractNumId w:val="15"/>
  </w:num>
  <w:num w:numId="12">
    <w:abstractNumId w:val="2"/>
  </w:num>
  <w:num w:numId="13">
    <w:abstractNumId w:val="23"/>
  </w:num>
  <w:num w:numId="14">
    <w:abstractNumId w:val="12"/>
  </w:num>
  <w:num w:numId="15">
    <w:abstractNumId w:val="13"/>
  </w:num>
  <w:num w:numId="16">
    <w:abstractNumId w:val="7"/>
  </w:num>
  <w:num w:numId="17">
    <w:abstractNumId w:val="10"/>
  </w:num>
  <w:num w:numId="18">
    <w:abstractNumId w:val="3"/>
  </w:num>
  <w:num w:numId="19">
    <w:abstractNumId w:val="22"/>
  </w:num>
  <w:num w:numId="20">
    <w:abstractNumId w:val="16"/>
  </w:num>
  <w:num w:numId="21">
    <w:abstractNumId w:val="6"/>
  </w:num>
  <w:num w:numId="22">
    <w:abstractNumId w:val="5"/>
  </w:num>
  <w:num w:numId="23">
    <w:abstractNumId w:val="2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AD585A"/>
    <w:rsid w:val="00107CBC"/>
    <w:rsid w:val="00187E3A"/>
    <w:rsid w:val="00336F2C"/>
    <w:rsid w:val="005B69FD"/>
    <w:rsid w:val="007B5A15"/>
    <w:rsid w:val="00846BC7"/>
    <w:rsid w:val="0086199B"/>
    <w:rsid w:val="00AD585A"/>
    <w:rsid w:val="00B87CD3"/>
    <w:rsid w:val="00D23E90"/>
    <w:rsid w:val="00DC3957"/>
    <w:rsid w:val="00E470D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BC"/>
    <w:rPr>
      <w:sz w:val="24"/>
      <w:szCs w:val="24"/>
      <w:lang w:val="es-ES" w:eastAsia="es-ES"/>
    </w:rPr>
  </w:style>
  <w:style w:type="paragraph" w:styleId="Ttulo1">
    <w:name w:val="heading 1"/>
    <w:basedOn w:val="Normal"/>
    <w:next w:val="Normal"/>
    <w:qFormat/>
    <w:rsid w:val="00107CBC"/>
    <w:pPr>
      <w:keepNext/>
      <w:spacing w:line="264" w:lineRule="auto"/>
      <w:ind w:left="360"/>
      <w:outlineLvl w:val="0"/>
    </w:pPr>
    <w:rPr>
      <w:rFonts w:ascii="Arial" w:hAnsi="Arial"/>
      <w:b/>
      <w:bCs/>
      <w:sz w:val="22"/>
      <w:lang w:val="es-ES_tradnl"/>
    </w:rPr>
  </w:style>
  <w:style w:type="paragraph" w:styleId="Ttulo2">
    <w:name w:val="heading 2"/>
    <w:basedOn w:val="Normal"/>
    <w:next w:val="Normal"/>
    <w:qFormat/>
    <w:rsid w:val="00107CBC"/>
    <w:pPr>
      <w:keepNext/>
      <w:jc w:val="center"/>
      <w:outlineLvl w:val="1"/>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107CBC"/>
    <w:rPr>
      <w:rFonts w:ascii="Arial" w:hAnsi="Arial" w:cs="Arial"/>
      <w:sz w:val="22"/>
    </w:rPr>
  </w:style>
  <w:style w:type="paragraph" w:styleId="Sangradetextonormal">
    <w:name w:val="Body Text Indent"/>
    <w:basedOn w:val="Normal"/>
    <w:semiHidden/>
    <w:rsid w:val="00107CBC"/>
    <w:pPr>
      <w:spacing w:line="264" w:lineRule="auto"/>
      <w:ind w:left="360"/>
    </w:pPr>
    <w:rPr>
      <w:rFonts w:ascii="Arial" w:hAnsi="Arial"/>
      <w:sz w:val="22"/>
      <w:lang w:val="es-ES_tradnl"/>
    </w:rPr>
  </w:style>
  <w:style w:type="paragraph" w:styleId="Textoindependiente2">
    <w:name w:val="Body Text 2"/>
    <w:basedOn w:val="Normal"/>
    <w:semiHidden/>
    <w:rsid w:val="00107CBC"/>
    <w:pPr>
      <w:jc w:val="both"/>
    </w:pPr>
    <w:rPr>
      <w:rFonts w:ascii="Arial" w:hAnsi="Arial" w:cs="Arial"/>
      <w:sz w:val="22"/>
      <w:szCs w:val="20"/>
    </w:rPr>
  </w:style>
  <w:style w:type="paragraph" w:styleId="Piedepgina">
    <w:name w:val="footer"/>
    <w:basedOn w:val="Normal"/>
    <w:semiHidden/>
    <w:rsid w:val="00107CBC"/>
    <w:pPr>
      <w:tabs>
        <w:tab w:val="center" w:pos="4419"/>
        <w:tab w:val="right" w:pos="8838"/>
      </w:tabs>
    </w:pPr>
  </w:style>
  <w:style w:type="character" w:styleId="Nmerodepgina">
    <w:name w:val="page number"/>
    <w:basedOn w:val="Fuentedeprrafopredeter"/>
    <w:semiHidden/>
    <w:rsid w:val="00107CBC"/>
  </w:style>
  <w:style w:type="paragraph" w:customStyle="1" w:styleId="Default">
    <w:name w:val="Default"/>
    <w:rsid w:val="00107CBC"/>
    <w:pPr>
      <w:autoSpaceDE w:val="0"/>
      <w:autoSpaceDN w:val="0"/>
      <w:adjustRightInd w:val="0"/>
    </w:pPr>
    <w:rPr>
      <w:rFonts w:ascii="TimesNewRoman" w:hAnsi="TimesNewRoman"/>
      <w:lang w:val="es-ES" w:eastAsia="es-ES"/>
    </w:rPr>
  </w:style>
  <w:style w:type="paragraph" w:styleId="Textoindependiente3">
    <w:name w:val="Body Text 3"/>
    <w:basedOn w:val="Normal"/>
    <w:semiHidden/>
    <w:rsid w:val="00107CBC"/>
    <w:pPr>
      <w:ind w:right="-521"/>
      <w:jc w:val="both"/>
    </w:pPr>
    <w:rPr>
      <w:szCs w:val="22"/>
    </w:rPr>
  </w:style>
  <w:style w:type="paragraph" w:styleId="Sangra2detindependiente">
    <w:name w:val="Body Text Indent 2"/>
    <w:basedOn w:val="Normal"/>
    <w:semiHidden/>
    <w:rsid w:val="00107CBC"/>
    <w:pPr>
      <w:tabs>
        <w:tab w:val="num" w:pos="0"/>
      </w:tabs>
      <w:ind w:right="-521" w:hanging="720"/>
      <w:jc w:val="both"/>
    </w:pPr>
    <w:rPr>
      <w:szCs w:val="22"/>
    </w:rPr>
  </w:style>
</w:styles>
</file>

<file path=word/webSettings.xml><?xml version="1.0" encoding="utf-8"?>
<w:webSettings xmlns:r="http://schemas.openxmlformats.org/officeDocument/2006/relationships" xmlns:w="http://schemas.openxmlformats.org/wordprocessingml/2006/main">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O modelo de regressão linear simples foi usado para estudar a relação entre a contagem bacteriana (Y) e o tempo (x, em dia</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modelo de regressão linear simples foi usado para estudar a relação entre a contagem bacteriana (Y) e o tempo (x, em dia</dc:title>
  <dc:creator>ICFCEN</dc:creator>
  <cp:lastModifiedBy>Usuario</cp:lastModifiedBy>
  <cp:revision>4</cp:revision>
  <cp:lastPrinted>2006-07-05T18:28:00Z</cp:lastPrinted>
  <dcterms:created xsi:type="dcterms:W3CDTF">2013-05-27T14:17:00Z</dcterms:created>
  <dcterms:modified xsi:type="dcterms:W3CDTF">2013-05-27T14:41:00Z</dcterms:modified>
</cp:coreProperties>
</file>